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F5" w:rsidRDefault="003F37F5" w:rsidP="003F37F5">
      <w:pPr>
        <w:spacing w:after="240" w:line="432" w:lineRule="atLeast"/>
        <w:jc w:val="left"/>
        <w:rPr>
          <w:rFonts w:ascii="Tahoma" w:eastAsia="Times New Roman" w:hAnsi="Tahoma" w:cs="Tahoma"/>
          <w:color w:val="666666"/>
          <w:sz w:val="20"/>
          <w:szCs w:val="20"/>
          <w:lang w:eastAsia="sk-SK"/>
        </w:rPr>
      </w:pPr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 </w:t>
      </w:r>
      <w:r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 xml:space="preserve">   Umenie</w:t>
      </w:r>
    </w:p>
    <w:p w:rsidR="003F37F5" w:rsidRPr="003F37F5" w:rsidRDefault="003F37F5" w:rsidP="003F37F5">
      <w:pPr>
        <w:spacing w:after="240" w:line="432" w:lineRule="atLeast"/>
        <w:jc w:val="left"/>
        <w:rPr>
          <w:rFonts w:ascii="Tahoma" w:eastAsia="Times New Roman" w:hAnsi="Tahoma" w:cs="Tahoma"/>
          <w:color w:val="666666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 xml:space="preserve">  </w:t>
      </w:r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Počítačová hra je hra prevádzkovaná na nejakom počítači, dnes obvykle PC alebo Apple Macintosh. Videohry sú hry prevádzkované na hernej konzole, napríklad Sony </w:t>
      </w:r>
      <w:proofErr w:type="spellStart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PlayStation</w:t>
      </w:r>
      <w:proofErr w:type="spellEnd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 xml:space="preserve">. Toto delenie nie je presné, pretože vo svojej podstate je i hracia konzola špecializovaný počítač - skôr ide o dva pojmy vyjadrujúce v podstate to isté. Hry so zameraním predovšetkým na príbeh. Postava zbiera a používa rôzne predmety, rozpráva sa s ďalšími postavami napreduje v dejovej línii. Typickým príkladom je hra </w:t>
      </w:r>
      <w:proofErr w:type="spellStart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Broken</w:t>
      </w:r>
      <w:proofErr w:type="spellEnd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Sword</w:t>
      </w:r>
      <w:proofErr w:type="spellEnd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. Hry založené na likvidácii oponentov hrubou silou zbraní. Hlavný dôraz sa kladie na grafické spracovanie a celkovú dynamiku bojov. Dôležitú úlohu hrá aj samotný príbeh.</w:t>
      </w:r>
    </w:p>
    <w:p w:rsidR="003F37F5" w:rsidRPr="003F37F5" w:rsidRDefault="003F37F5" w:rsidP="003F37F5">
      <w:pPr>
        <w:spacing w:after="240" w:line="432" w:lineRule="atLeast"/>
        <w:jc w:val="left"/>
        <w:rPr>
          <w:rFonts w:ascii="Tahoma" w:eastAsia="Times New Roman" w:hAnsi="Tahoma" w:cs="Tahoma"/>
          <w:color w:val="666666"/>
          <w:sz w:val="20"/>
          <w:szCs w:val="20"/>
          <w:lang w:eastAsia="sk-SK"/>
        </w:rPr>
      </w:pPr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 xml:space="preserve"> Dobrým príkladom je séria </w:t>
      </w:r>
      <w:proofErr w:type="spellStart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Half-Life</w:t>
      </w:r>
      <w:proofErr w:type="spellEnd"/>
      <w:r w:rsidRPr="003F37F5">
        <w:rPr>
          <w:rFonts w:ascii="Tahoma" w:eastAsia="Times New Roman" w:hAnsi="Tahoma" w:cs="Tahoma"/>
          <w:color w:val="666666"/>
          <w:sz w:val="20"/>
          <w:szCs w:val="20"/>
          <w:lang w:eastAsia="sk-SK"/>
        </w:rPr>
        <w:t>.( akčná počítačová hra z pohľadu prvej osoby, ktorej príbeh sa v celom rozsahu vyvíja počas hrania v reálnom čase. </w:t>
      </w:r>
    </w:p>
    <w:p w:rsidR="003F37F5" w:rsidRPr="003F37F5" w:rsidRDefault="003F37F5" w:rsidP="003F37F5">
      <w:pPr>
        <w:spacing w:after="90"/>
        <w:jc w:val="left"/>
        <w:outlineLvl w:val="2"/>
        <w:rPr>
          <w:rFonts w:ascii="Tahoma" w:eastAsia="Times New Roman" w:hAnsi="Tahoma" w:cs="Tahoma"/>
          <w:b/>
          <w:bCs/>
          <w:color w:val="651528"/>
          <w:sz w:val="28"/>
          <w:szCs w:val="28"/>
          <w:lang w:eastAsia="sk-SK"/>
        </w:rPr>
      </w:pPr>
      <w:r w:rsidRPr="003F37F5">
        <w:rPr>
          <w:rFonts w:ascii="Tahoma" w:eastAsia="Times New Roman" w:hAnsi="Tahoma" w:cs="Tahoma"/>
          <w:b/>
          <w:bCs/>
          <w:color w:val="651528"/>
          <w:sz w:val="28"/>
          <w:szCs w:val="28"/>
          <w:lang w:eastAsia="sk-SK"/>
        </w:rPr>
        <w:t> </w:t>
      </w:r>
    </w:p>
    <w:p w:rsidR="003F37F5" w:rsidRPr="003F37F5" w:rsidRDefault="003F37F5" w:rsidP="003F37F5">
      <w:pPr>
        <w:spacing w:after="90"/>
        <w:jc w:val="left"/>
        <w:outlineLvl w:val="2"/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</w:pPr>
      <w:r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  <w:t>                 </w:t>
      </w:r>
      <w:r w:rsidRPr="003F37F5"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  <w:t xml:space="preserve">Prehľad vývojom hry: </w:t>
      </w:r>
      <w:proofErr w:type="spellStart"/>
      <w:r w:rsidRPr="003F37F5"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b/>
          <w:bCs/>
          <w:color w:val="651528"/>
          <w:sz w:val="34"/>
          <w:szCs w:val="34"/>
          <w:lang w:eastAsia="sk-SK"/>
        </w:rPr>
        <w:t>Sims</w:t>
      </w:r>
      <w:proofErr w:type="spellEnd"/>
    </w:p>
    <w:p w:rsidR="003F37F5" w:rsidRPr="003F37F5" w:rsidRDefault="003F37F5" w:rsidP="003F37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7F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7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3F37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Pozrieme sa spoločne na vývoj hry </w:t>
      </w:r>
      <w:proofErr w:type="spellStart"/>
      <w:r w:rsidRPr="003F37F5">
        <w:rPr>
          <w:rFonts w:ascii="Times New Roman" w:eastAsia="Times New Roman" w:hAnsi="Times New Roman" w:cs="Times New Roman"/>
          <w:sz w:val="24"/>
          <w:szCs w:val="24"/>
          <w:lang w:eastAsia="sk-SK"/>
        </w:rPr>
        <w:t>Sims</w:t>
      </w:r>
      <w:proofErr w:type="spellEnd"/>
      <w:r w:rsidRPr="003F37F5">
        <w:rPr>
          <w:rFonts w:ascii="Times New Roman" w:eastAsia="Times New Roman" w:hAnsi="Times New Roman" w:cs="Times New Roman"/>
          <w:sz w:val="24"/>
          <w:szCs w:val="24"/>
          <w:lang w:eastAsia="sk-SK"/>
        </w:rPr>
        <w:t>, od jej začiatkov a prejdeme až k novinkám, ktoré prináša.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Hra bola vytvorená v štúdiách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Maxis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v roku 2000 a vydaná spoločnosťou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Electronic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Arts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. Vydalo sa okolo 98 miliónov kópií. Často krát býva definovaná ako „simulátor života“. Naozaj táto hra umožňuje hráčovi zažívať reálny život, len vo virtuálnej podobe. Postavičky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Sim-íci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chodia do práce, postavia si dom, socializujú sa navzájom, dokonca môžu splodiť dieťa. Ďalej je možné chodiť na žúry, do mesta, na nákupy atď. Proste ako v reálnom živote.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Hru vytvoril dizajnér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Will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Wright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známy tiež hrou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SimCity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. K februáru 2005 sa predalo 16 miliónov kópií, pričom to bola prvá časť –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. Išlo o najpredávanejšiu hru, ktorá bola hlavne obľúbená u dievčat, avšak aj mužské publikum si v nej našlo to svoje.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Medzitým bolo vyvinuté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2 a dnes je už na </w:t>
      </w: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trhu najnovšia časť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3.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  <w:t>     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dvojka prináša rôzne zmeny. V pôvodnej, prvej verzii sa dá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Sim-ovi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vybrať len niekoľko tvárí,  postáv a zopár kúskov oblečenia. Takto málo možností na výber je už minulosťou.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V 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2 sa dá pohrať s výberom tváre do dokonalostí (lícne kosti, brada, čelo, rozloženie očí, nos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atď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). Plus môžete dôkladne zvoliť štýl obliekania, vybrať dokonale oblečenie od hlavy po päty a to isté aj pre vášho dvojnohého miláčika ak sa ho rozhodnete mať.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Ďalej veľmi dôležitý je výber povahy pre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. Je možné detailne vybrať charakterové črty a dokonca konkrétne zvoliť jeho znamenie zverokruhu, podľa ktorého sa bude správať. Toto všetko ovplyvňuje jeho medziľudské vzťahy a vôbec správanie v rodine.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Je možnosť vytvoriť samozrejme manželské páry, a to len jediným kliknutím na príslušnú ikonu.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K tomu sa automaticky vygeneruje aj potomok, ktorý nesie gény oboch rodičov. A genetika sformuje jeho psychickú aj fyzickú stránku, čiže presne ako v realite. Tvorcovia to naozaj prepracovali do dokonalostí.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V 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2 je to naozaj revolučné, pretože dieťa sa správa ako rodičia. Do génov sa mu zapíšu klady aj zápory a aj vyzerá ako oni. Tu sa dostávame aj k vývoju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Simov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. Prechádzajú všetkými fázami – od bábätka, cez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puberťáka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potom samostatného dospelého človeka až po senilného starca.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Nasleduje ďalšia dôležitá časť a to výber domu a nábytku. Je tam z čoho vyberať, ponuka je naozaj obrovská.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Oproti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jednotke,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Simovia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sú o veľa viac samostatnejší, už neodpadnú na mieste len tak alebo sa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nepočúrajú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na mieste.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lastRenderedPageBreak/>
        <w:t xml:space="preserve">Je veľmi dôležité napĺňať túžby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, treba ho zabezpečiť. Musí byť spokojný so svojím spoločenským životom, súkromným a takto sa mu napĺňajú potreby a zintenzívňuje sa mu signalizačná lišta na zeleno. Dostáva tzv.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aspiration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points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, za ktoré si môže na príklad zadovážiť strom ( z ktorého má extra peniaze). Čím dlhšie bude mať túto zelenú ikonku tým dlhšie bude v dospelom veku.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Ak však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Sim-ovi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nenaplníte jeho potreby začne byť psychicky na dne a nekontrolovateľný.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Ostatné veci v hre sú podobné ako pri jednotke, avšak ešte jedna dôležitá vec, pri práci je možné zmariť úsilie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pri postupe v kariére, ak nesprávne zvolíte.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Samozrejme aj pri tejto verzii 2 sa tvorcovia vyhrali s grafikou.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Sim-ovia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sa správajú naozaj podobne ako v realite, umývanie riadov alebo gestá sa Vám môžu zdať známe, ako z reálneho života. Ich jazyk je samozrejme opäť späť a naozaj je ho počuť všade. Nesmie chýbať ani typický čierny humor., čiže zase niečo z reality.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3  je verzia tretia z roku 2009 a prináša veľa nových zážitkov. V hre je možné pohybovať sa bez nahrávacích obrazoviek medzi všetkými miestami hry. Hra je plynulá.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Sim-ovia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sa môžu dostať za hranice svojich domovov, vojsť do domovov ostatných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Sim-ov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a socializovať sa. Po meste je možné sa pohybovať pešo, autom či na bicykli.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sk-SK"/>
        </w:rPr>
        <w:drawing>
          <wp:inline distT="0" distB="0" distL="0" distR="0">
            <wp:extent cx="1457325" cy="1457325"/>
            <wp:effectExtent l="19050" t="0" r="9525" b="0"/>
            <wp:docPr id="2" name="Obrázok 2" descr="http://files.vplyv-informatiky-vo-vede7.webnode.sk/200000026-8c0d28d06f/the-sims-3-cestovna-horucka-cz-pc-dvd-big-37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vplyv-informatiky-vo-vede7.webnode.sk/200000026-8c0d28d06f/the-sims-3-cestovna-horucka-cz-pc-dvd-big-37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spacing w:after="240"/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    </w:t>
      </w:r>
    </w:p>
    <w:tbl>
      <w:tblPr>
        <w:tblW w:w="7500" w:type="dxa"/>
        <w:tblCellMar>
          <w:left w:w="0" w:type="dxa"/>
          <w:right w:w="0" w:type="dxa"/>
        </w:tblCellMar>
        <w:tblLook w:val="04A0"/>
      </w:tblPr>
      <w:tblGrid>
        <w:gridCol w:w="3726"/>
        <w:gridCol w:w="3774"/>
      </w:tblGrid>
      <w:tr w:rsidR="003F37F5" w:rsidRPr="003F37F5" w:rsidTr="003F37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Sims</w:t>
            </w:r>
            <w:proofErr w:type="spellEnd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r. 2000</w:t>
            </w:r>
          </w:p>
        </w:tc>
      </w:tr>
      <w:tr w:rsidR="003F37F5" w:rsidRPr="003F37F5" w:rsidTr="003F37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Sims</w:t>
            </w:r>
            <w:proofErr w:type="spellEnd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r. 2005</w:t>
            </w:r>
          </w:p>
        </w:tc>
      </w:tr>
      <w:tr w:rsidR="003F37F5" w:rsidRPr="003F37F5" w:rsidTr="003F37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Sims</w:t>
            </w:r>
            <w:proofErr w:type="spellEnd"/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37F5" w:rsidRPr="003F37F5" w:rsidRDefault="003F37F5" w:rsidP="003F37F5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F37F5">
              <w:rPr>
                <w:rFonts w:ascii="Arial" w:eastAsia="Times New Roman" w:hAnsi="Arial" w:cs="Arial"/>
                <w:color w:val="000000"/>
                <w:lang w:eastAsia="sk-SK"/>
              </w:rPr>
              <w:t>r. 2009</w:t>
            </w:r>
          </w:p>
        </w:tc>
      </w:tr>
    </w:tbl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</w: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</w:r>
      <w:r w:rsidRPr="003F37F5">
        <w:rPr>
          <w:rFonts w:ascii="Arial" w:eastAsia="Times New Roman" w:hAnsi="Arial" w:cs="Arial"/>
          <w:color w:val="666666"/>
          <w:sz w:val="20"/>
          <w:szCs w:val="20"/>
          <w:u w:val="single"/>
          <w:lang w:eastAsia="sk-SK"/>
        </w:rPr>
        <w:t>Najlepšie hry roka 2013 :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 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Bioshock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infinite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Tomb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Raider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Grand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Theft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Auto V</w:t>
      </w:r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The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Last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of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Us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Assassirs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Creed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IV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Xcom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Ehemy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Within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Metro:Last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Light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Battlefield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Rayman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Legends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  -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Fire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Emblen</w:t>
      </w:r>
      <w:proofErr w:type="spellEnd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proofErr w:type="spellStart"/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t>Awakening</w:t>
      </w:r>
      <w:proofErr w:type="spellEnd"/>
    </w:p>
    <w:p w:rsidR="003F37F5" w:rsidRPr="003F37F5" w:rsidRDefault="003F37F5" w:rsidP="003F37F5">
      <w:pPr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</w: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</w: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br/>
        <w:t> </w:t>
      </w:r>
    </w:p>
    <w:p w:rsidR="003F37F5" w:rsidRPr="003F37F5" w:rsidRDefault="003F37F5" w:rsidP="003F37F5">
      <w:pPr>
        <w:spacing w:after="240" w:line="432" w:lineRule="atLeast"/>
        <w:jc w:val="left"/>
        <w:rPr>
          <w:rFonts w:ascii="Arial" w:eastAsia="Times New Roman" w:hAnsi="Arial" w:cs="Arial"/>
          <w:color w:val="666666"/>
          <w:sz w:val="20"/>
          <w:szCs w:val="20"/>
          <w:lang w:eastAsia="sk-SK"/>
        </w:rPr>
      </w:pPr>
      <w:r w:rsidRPr="003F37F5">
        <w:rPr>
          <w:rFonts w:ascii="Arial" w:eastAsia="Times New Roman" w:hAnsi="Arial" w:cs="Arial"/>
          <w:color w:val="666666"/>
          <w:sz w:val="20"/>
          <w:szCs w:val="20"/>
          <w:lang w:eastAsia="sk-SK"/>
        </w:rPr>
        <w:lastRenderedPageBreak/>
        <w:t> </w:t>
      </w:r>
    </w:p>
    <w:p w:rsidR="00432877" w:rsidRDefault="00432877" w:rsidP="003F37F5"/>
    <w:sectPr w:rsidR="00432877" w:rsidSect="0043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7F5"/>
    <w:rsid w:val="003F37F5"/>
    <w:rsid w:val="00432877"/>
    <w:rsid w:val="005E58DC"/>
    <w:rsid w:val="008B3C41"/>
    <w:rsid w:val="00991A49"/>
    <w:rsid w:val="00C744EA"/>
    <w:rsid w:val="00CB3F66"/>
    <w:rsid w:val="00C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2877"/>
  </w:style>
  <w:style w:type="paragraph" w:styleId="Nadpis3">
    <w:name w:val="heading 3"/>
    <w:basedOn w:val="Normlny"/>
    <w:link w:val="Nadpis3Char"/>
    <w:uiPriority w:val="9"/>
    <w:qFormat/>
    <w:rsid w:val="003F37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F37F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F37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HenrietaAbdi</dc:creator>
  <cp:keywords/>
  <dc:description/>
  <cp:lastModifiedBy>HenrietaAbdi</cp:lastModifiedBy>
  <cp:revision>2</cp:revision>
  <dcterms:created xsi:type="dcterms:W3CDTF">2014-11-17T15:34:00Z</dcterms:created>
  <dcterms:modified xsi:type="dcterms:W3CDTF">2014-11-17T15:35:00Z</dcterms:modified>
</cp:coreProperties>
</file>